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173"/>
        <w:tblW w:w="13765" w:type="dxa"/>
        <w:tblLook w:val="04A0" w:firstRow="1" w:lastRow="0" w:firstColumn="1" w:lastColumn="0" w:noHBand="0" w:noVBand="1"/>
      </w:tblPr>
      <w:tblGrid>
        <w:gridCol w:w="2186"/>
        <w:gridCol w:w="2309"/>
        <w:gridCol w:w="1877"/>
        <w:gridCol w:w="3240"/>
        <w:gridCol w:w="13"/>
        <w:gridCol w:w="4127"/>
        <w:gridCol w:w="13"/>
      </w:tblGrid>
      <w:tr w:rsidR="00AF2E61" w:rsidRPr="00AC19FF" w14:paraId="0F662C4B" w14:textId="77777777" w:rsidTr="668D6F9E">
        <w:trPr>
          <w:trHeight w:val="463"/>
          <w:tblHeader/>
        </w:trPr>
        <w:tc>
          <w:tcPr>
            <w:tcW w:w="2186" w:type="dxa"/>
            <w:shd w:val="clear" w:color="auto" w:fill="DAE8F8"/>
          </w:tcPr>
          <w:p w14:paraId="2F4BA654" w14:textId="1269B92E" w:rsidR="00AF2E61" w:rsidRPr="002924ED" w:rsidRDefault="00AF2E61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Author, Year, Study Design, Quality Rating</w:t>
            </w:r>
          </w:p>
        </w:tc>
        <w:tc>
          <w:tcPr>
            <w:tcW w:w="2309" w:type="dxa"/>
            <w:shd w:val="clear" w:color="auto" w:fill="DAE8F8"/>
          </w:tcPr>
          <w:p w14:paraId="0438B584" w14:textId="77777777" w:rsidR="00AF2E61" w:rsidRPr="00AC19FF" w:rsidRDefault="00AF2E61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Study Purpose</w:t>
            </w:r>
          </w:p>
        </w:tc>
        <w:tc>
          <w:tcPr>
            <w:tcW w:w="1877" w:type="dxa"/>
            <w:shd w:val="clear" w:color="auto" w:fill="DAE8F8"/>
          </w:tcPr>
          <w:p w14:paraId="0E9849FF" w14:textId="77777777" w:rsidR="00AF2E61" w:rsidRPr="00AC19FF" w:rsidRDefault="00AF2E61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Study Populations</w:t>
            </w:r>
          </w:p>
        </w:tc>
        <w:tc>
          <w:tcPr>
            <w:tcW w:w="3253" w:type="dxa"/>
            <w:gridSpan w:val="2"/>
            <w:shd w:val="clear" w:color="auto" w:fill="DAE8F8"/>
          </w:tcPr>
          <w:p w14:paraId="63D41373" w14:textId="77777777" w:rsidR="00AF2E61" w:rsidRPr="00AC19FF" w:rsidRDefault="00AF2E61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Outcomes</w:t>
            </w:r>
          </w:p>
        </w:tc>
        <w:tc>
          <w:tcPr>
            <w:tcW w:w="4140" w:type="dxa"/>
            <w:gridSpan w:val="2"/>
            <w:shd w:val="clear" w:color="auto" w:fill="DAE8F8"/>
          </w:tcPr>
          <w:p w14:paraId="59FB0E73" w14:textId="77777777" w:rsidR="00AF2E61" w:rsidRPr="00AC19FF" w:rsidRDefault="00AF2E61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Limitations</w:t>
            </w:r>
          </w:p>
        </w:tc>
      </w:tr>
      <w:tr w:rsidR="00AF2E61" w:rsidRPr="00AC19FF" w14:paraId="4A98BE82" w14:textId="77777777" w:rsidTr="668D6F9E">
        <w:trPr>
          <w:gridAfter w:val="1"/>
          <w:wAfter w:w="13" w:type="dxa"/>
          <w:trHeight w:val="463"/>
        </w:trPr>
        <w:tc>
          <w:tcPr>
            <w:tcW w:w="2186" w:type="dxa"/>
          </w:tcPr>
          <w:p w14:paraId="22D81A49" w14:textId="104095BA" w:rsidR="00AF2E61" w:rsidRDefault="562CF5BB" w:rsidP="668D6F9E">
            <w:pPr>
              <w:spacing w:after="240"/>
              <w:rPr>
                <w:rFonts w:ascii="Aptos" w:eastAsia="Aptos" w:hAnsi="Aptos" w:cs="Aptos"/>
              </w:rPr>
            </w:pPr>
            <w:r w:rsidRPr="668D6F9E">
              <w:rPr>
                <w:rFonts w:ascii="Aptos" w:eastAsia="Aptos" w:hAnsi="Aptos" w:cs="Aptos"/>
              </w:rPr>
              <w:t>Berni Canani R, Carucci L, Coppola S, et al. Ultra-processed foods, allergy outcomes and underlying mechanisms in children: An EAACI task force report. Pediatr Allergy Immunol. 2024;35(9</w:t>
            </w:r>
            <w:proofErr w:type="gramStart"/>
            <w:r w:rsidRPr="668D6F9E">
              <w:rPr>
                <w:rFonts w:ascii="Aptos" w:eastAsia="Aptos" w:hAnsi="Aptos" w:cs="Aptos"/>
              </w:rPr>
              <w:t>):e</w:t>
            </w:r>
            <w:proofErr w:type="gramEnd"/>
            <w:r w:rsidRPr="668D6F9E">
              <w:rPr>
                <w:rFonts w:ascii="Aptos" w:eastAsia="Aptos" w:hAnsi="Aptos" w:cs="Aptos"/>
              </w:rPr>
              <w:t>14231.</w:t>
            </w:r>
          </w:p>
          <w:p w14:paraId="1C9BC1E0" w14:textId="0FD898B1" w:rsidR="00AF2E61" w:rsidRDefault="2D58E931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Systematic Review</w:t>
            </w:r>
          </w:p>
          <w:p w14:paraId="7B78F9E5" w14:textId="616BF514" w:rsidR="00AF2E61" w:rsidRDefault="135545E0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Positive</w:t>
            </w:r>
          </w:p>
          <w:p w14:paraId="2E81F647" w14:textId="34DA1331" w:rsidR="00AF2E61" w:rsidRDefault="00AF2E61" w:rsidP="668D6F9E">
            <w:pPr>
              <w:rPr>
                <w:b/>
                <w:bCs/>
              </w:rPr>
            </w:pPr>
          </w:p>
        </w:tc>
        <w:tc>
          <w:tcPr>
            <w:tcW w:w="2309" w:type="dxa"/>
          </w:tcPr>
          <w:p w14:paraId="13452F9E" w14:textId="3CD3DCF9" w:rsidR="00AF2E61" w:rsidRDefault="668D6F9E" w:rsidP="668D6F9E">
            <w:pPr>
              <w:rPr>
                <w:rFonts w:ascii="Aptos" w:eastAsia="Aptos" w:hAnsi="Aptos" w:cs="Aptos"/>
              </w:rPr>
            </w:pPr>
            <w:r w:rsidRPr="668D6F9E">
              <w:rPr>
                <w:rFonts w:ascii="Aptos" w:eastAsia="Aptos" w:hAnsi="Aptos" w:cs="Aptos"/>
              </w:rPr>
              <w:t>Assess associations between UPF consumption and pediatric allergy outcomes. Also investigated associated changes in gut microbiota and the immune system.</w:t>
            </w:r>
          </w:p>
          <w:p w14:paraId="4AD1C394" w14:textId="0A7CD0E4" w:rsidR="00AF2E61" w:rsidRDefault="00AF2E61" w:rsidP="668D6F9E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7DE70C46" w14:textId="008AF942" w:rsidR="668D6F9E" w:rsidRDefault="668D6F9E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Sample size:</w:t>
            </w:r>
          </w:p>
          <w:p w14:paraId="109ABB2D" w14:textId="1E6A69AA" w:rsidR="668D6F9E" w:rsidRDefault="668D6F9E" w:rsidP="668D6F9E">
            <w:r w:rsidRPr="668D6F9E">
              <w:t>55 studies (Allergy outcomes: n=26 studies; Gut microbiota: n=16 studies; Immune system: n=3 studies)</w:t>
            </w:r>
          </w:p>
          <w:p w14:paraId="4A721214" w14:textId="1FC32D35" w:rsidR="668D6F9E" w:rsidRDefault="668D6F9E" w:rsidP="668D6F9E">
            <w:r w:rsidRPr="668D6F9E">
              <w:rPr>
                <w:b/>
                <w:bCs/>
              </w:rPr>
              <w:t>Sex:</w:t>
            </w:r>
            <w:r w:rsidRPr="668D6F9E">
              <w:t xml:space="preserve"> Varied by study (not consistently reported)</w:t>
            </w:r>
          </w:p>
          <w:p w14:paraId="263A97DE" w14:textId="1FE71133" w:rsidR="668D6F9E" w:rsidRDefault="668D6F9E" w:rsidP="668D6F9E">
            <w:r w:rsidRPr="668D6F9E">
              <w:rPr>
                <w:b/>
                <w:bCs/>
              </w:rPr>
              <w:t>Age (range/mean):</w:t>
            </w:r>
            <w:r w:rsidRPr="668D6F9E">
              <w:t xml:space="preserve"> Varied by study</w:t>
            </w:r>
          </w:p>
          <w:p w14:paraId="65A39BA8" w14:textId="1987B8C8" w:rsidR="668D6F9E" w:rsidRDefault="668D6F9E" w:rsidP="668D6F9E">
            <w:r w:rsidRPr="668D6F9E">
              <w:rPr>
                <w:b/>
                <w:bCs/>
              </w:rPr>
              <w:t>Race/Ethnicity:</w:t>
            </w:r>
            <w:r w:rsidRPr="668D6F9E">
              <w:t xml:space="preserve"> Varied by study</w:t>
            </w:r>
          </w:p>
          <w:p w14:paraId="26DBCEE2" w14:textId="0F948605" w:rsidR="668D6F9E" w:rsidRDefault="668D6F9E" w:rsidP="668D6F9E">
            <w:r w:rsidRPr="668D6F9E">
              <w:rPr>
                <w:b/>
                <w:bCs/>
              </w:rPr>
              <w:t>Relevant demographics:</w:t>
            </w:r>
            <w:r w:rsidRPr="668D6F9E">
              <w:t xml:space="preserve"> Varied by study</w:t>
            </w:r>
          </w:p>
          <w:p w14:paraId="30D67470" w14:textId="7E02D7C5" w:rsidR="668D6F9E" w:rsidRDefault="668D6F9E" w:rsidP="668D6F9E">
            <w:r w:rsidRPr="668D6F9E">
              <w:rPr>
                <w:b/>
                <w:bCs/>
              </w:rPr>
              <w:t>Location:</w:t>
            </w:r>
            <w:r w:rsidRPr="668D6F9E">
              <w:t xml:space="preserve"> Worldwide</w:t>
            </w:r>
          </w:p>
        </w:tc>
        <w:tc>
          <w:tcPr>
            <w:tcW w:w="3240" w:type="dxa"/>
          </w:tcPr>
          <w:p w14:paraId="4CA10A0D" w14:textId="7C1BB9FA" w:rsidR="668D6F9E" w:rsidRDefault="668D6F9E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Primary findings:</w:t>
            </w:r>
          </w:p>
          <w:p w14:paraId="75969384" w14:textId="77979CFC" w:rsidR="668D6F9E" w:rsidRDefault="668D6F9E" w:rsidP="668D6F9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Higher intakes of fructose, carbonated soft drinks, and free sugars were associated with increased risk of asthma, allergic rhinitis, and food allergies in children (across included studies).</w:t>
            </w:r>
          </w:p>
          <w:p w14:paraId="04EE3C9F" w14:textId="0B47C8E4" w:rsidR="668D6F9E" w:rsidRDefault="668D6F9E" w:rsidP="668D6F9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Commercial baby food intake was associated with oral food challenge–proven childhood food allergy (in included studies).</w:t>
            </w:r>
          </w:p>
          <w:p w14:paraId="08A5F8FB" w14:textId="5C069C40" w:rsidR="668D6F9E" w:rsidRDefault="668D6F9E" w:rsidP="668D6F9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UPF intake was associated with alterations in gut microbiota, gut epithelial barrier, and immune system function (mechanistic findings across included studies).</w:t>
            </w:r>
          </w:p>
        </w:tc>
        <w:tc>
          <w:tcPr>
            <w:tcW w:w="4140" w:type="dxa"/>
            <w:gridSpan w:val="2"/>
          </w:tcPr>
          <w:p w14:paraId="29601690" w14:textId="5CC861B2" w:rsidR="668D6F9E" w:rsidRDefault="668D6F9E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Limitations:</w:t>
            </w:r>
          </w:p>
          <w:p w14:paraId="4A3E154E" w14:textId="6BC24CF5" w:rsidR="668D6F9E" w:rsidRDefault="668D6F9E" w:rsidP="668D6F9E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Outcomes were not consistently clinician-verified across included studies.</w:t>
            </w:r>
          </w:p>
          <w:p w14:paraId="37D9B79C" w14:textId="20D36A42" w:rsidR="668D6F9E" w:rsidRDefault="668D6F9E" w:rsidP="668D6F9E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Diet and allergy assessments were not consistently based on validated questionnaires.</w:t>
            </w:r>
          </w:p>
          <w:p w14:paraId="3A48E65D" w14:textId="76AA28A9" w:rsidR="668D6F9E" w:rsidRDefault="668D6F9E" w:rsidP="668D6F9E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Incomplete reporting/adjustment for potential confounders in some included studies.</w:t>
            </w:r>
          </w:p>
        </w:tc>
      </w:tr>
      <w:tr w:rsidR="668D6F9E" w14:paraId="5F8CA7C8" w14:textId="77777777" w:rsidTr="668D6F9E">
        <w:trPr>
          <w:gridAfter w:val="1"/>
          <w:wAfter w:w="13" w:type="dxa"/>
          <w:trHeight w:val="463"/>
        </w:trPr>
        <w:tc>
          <w:tcPr>
            <w:tcW w:w="2186" w:type="dxa"/>
          </w:tcPr>
          <w:p w14:paraId="7CF2F958" w14:textId="5CDD6173" w:rsidR="562CF5BB" w:rsidRDefault="562CF5BB" w:rsidP="668D6F9E">
            <w:pPr>
              <w:spacing w:before="240" w:after="240"/>
              <w:rPr>
                <w:rFonts w:ascii="Aptos" w:eastAsia="Aptos" w:hAnsi="Aptos" w:cs="Aptos"/>
              </w:rPr>
            </w:pPr>
            <w:r w:rsidRPr="668D6F9E">
              <w:rPr>
                <w:rFonts w:ascii="Aptos" w:eastAsia="Aptos" w:hAnsi="Aptos" w:cs="Aptos"/>
              </w:rPr>
              <w:t xml:space="preserve">Peng X, Li X, He J, et al. Ultra-Processed </w:t>
            </w:r>
            <w:r w:rsidRPr="668D6F9E">
              <w:rPr>
                <w:rFonts w:ascii="Aptos" w:eastAsia="Aptos" w:hAnsi="Aptos" w:cs="Aptos"/>
              </w:rPr>
              <w:lastRenderedPageBreak/>
              <w:t>Food Consumption and the Risk of Psoriasis: A Large Prospective Cohort Study. Nutrients. 2025;17(9).</w:t>
            </w:r>
          </w:p>
          <w:p w14:paraId="550EB4ED" w14:textId="68CAD69F" w:rsidR="14345E08" w:rsidRDefault="14345E08" w:rsidP="668D6F9E">
            <w:pPr>
              <w:spacing w:before="240" w:after="240"/>
              <w:rPr>
                <w:rFonts w:ascii="Aptos" w:eastAsia="Aptos" w:hAnsi="Aptos" w:cs="Aptos"/>
                <w:b/>
                <w:bCs/>
              </w:rPr>
            </w:pPr>
            <w:r w:rsidRPr="668D6F9E">
              <w:rPr>
                <w:rFonts w:ascii="Aptos" w:eastAsia="Aptos" w:hAnsi="Aptos" w:cs="Aptos"/>
                <w:b/>
                <w:bCs/>
              </w:rPr>
              <w:t>Prospective Cohort</w:t>
            </w:r>
          </w:p>
          <w:p w14:paraId="748D5608" w14:textId="3CF7699C" w:rsidR="14345E08" w:rsidRDefault="14345E08" w:rsidP="668D6F9E">
            <w:pPr>
              <w:spacing w:before="240" w:after="240"/>
              <w:rPr>
                <w:rFonts w:ascii="Aptos" w:eastAsia="Aptos" w:hAnsi="Aptos" w:cs="Aptos"/>
                <w:b/>
                <w:bCs/>
              </w:rPr>
            </w:pPr>
            <w:r w:rsidRPr="668D6F9E">
              <w:rPr>
                <w:rFonts w:ascii="Aptos" w:eastAsia="Aptos" w:hAnsi="Aptos" w:cs="Aptos"/>
                <w:b/>
                <w:bCs/>
              </w:rPr>
              <w:t>Positive</w:t>
            </w:r>
          </w:p>
          <w:p w14:paraId="01E3A63F" w14:textId="0B5DF635" w:rsidR="668D6F9E" w:rsidRDefault="668D6F9E" w:rsidP="668D6F9E">
            <w:pPr>
              <w:rPr>
                <w:rFonts w:ascii="Aptos" w:eastAsia="Aptos" w:hAnsi="Aptos" w:cs="Aptos"/>
              </w:rPr>
            </w:pPr>
          </w:p>
        </w:tc>
        <w:tc>
          <w:tcPr>
            <w:tcW w:w="2309" w:type="dxa"/>
          </w:tcPr>
          <w:p w14:paraId="1F3F1C89" w14:textId="5811C101" w:rsidR="14345E08" w:rsidRDefault="14345E08" w:rsidP="668D6F9E">
            <w:pPr>
              <w:rPr>
                <w:rFonts w:ascii="Aptos" w:eastAsia="Aptos" w:hAnsi="Aptos" w:cs="Aptos"/>
              </w:rPr>
            </w:pPr>
            <w:r w:rsidRPr="668D6F9E">
              <w:rPr>
                <w:rFonts w:ascii="Aptos" w:eastAsia="Aptos" w:hAnsi="Aptos" w:cs="Aptos"/>
              </w:rPr>
              <w:lastRenderedPageBreak/>
              <w:t xml:space="preserve">To investigate the association between ultra-processed food </w:t>
            </w:r>
            <w:r w:rsidRPr="668D6F9E">
              <w:rPr>
                <w:rFonts w:ascii="Aptos" w:eastAsia="Aptos" w:hAnsi="Aptos" w:cs="Aptos"/>
              </w:rPr>
              <w:lastRenderedPageBreak/>
              <w:t>(UPF) intake and the incidence of psoriasis, identify modifiable risk factors, and explore underlying mechanisms.</w:t>
            </w:r>
          </w:p>
          <w:p w14:paraId="080A0C5E" w14:textId="25A1C207" w:rsidR="668D6F9E" w:rsidRDefault="668D6F9E" w:rsidP="668D6F9E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7C6F486B" w14:textId="25A02F3C" w:rsidR="668D6F9E" w:rsidRDefault="668D6F9E" w:rsidP="668D6F9E">
            <w:r w:rsidRPr="668D6F9E">
              <w:rPr>
                <w:b/>
                <w:bCs/>
              </w:rPr>
              <w:lastRenderedPageBreak/>
              <w:t>Sample size:</w:t>
            </w:r>
            <w:r w:rsidRPr="668D6F9E">
              <w:t xml:space="preserve"> 121,019</w:t>
            </w:r>
          </w:p>
          <w:p w14:paraId="1A1FC316" w14:textId="1AE3664C" w:rsidR="668D6F9E" w:rsidRDefault="668D6F9E" w:rsidP="668D6F9E">
            <w:r w:rsidRPr="668D6F9E">
              <w:rPr>
                <w:b/>
                <w:bCs/>
              </w:rPr>
              <w:lastRenderedPageBreak/>
              <w:t>Sex:</w:t>
            </w:r>
            <w:r w:rsidRPr="668D6F9E">
              <w:t xml:space="preserve"> Male: 52,731 (43.5%); Female: 68,288 (56.5%)</w:t>
            </w:r>
          </w:p>
          <w:p w14:paraId="106C2020" w14:textId="5F3B17AD" w:rsidR="668D6F9E" w:rsidRDefault="668D6F9E" w:rsidP="668D6F9E">
            <w:r w:rsidRPr="668D6F9E">
              <w:rPr>
                <w:b/>
                <w:bCs/>
              </w:rPr>
              <w:t>Age (range/mean):</w:t>
            </w:r>
            <w:r w:rsidRPr="668D6F9E">
              <w:t xml:space="preserve"> 40–69 years; Mean 56.2 (SD 7.8)</w:t>
            </w:r>
          </w:p>
          <w:p w14:paraId="7AB71A2D" w14:textId="6C7416A6" w:rsidR="668D6F9E" w:rsidRDefault="668D6F9E" w:rsidP="668D6F9E">
            <w:r w:rsidRPr="668D6F9E">
              <w:rPr>
                <w:b/>
                <w:bCs/>
              </w:rPr>
              <w:t>Race/Ethnicity:</w:t>
            </w:r>
            <w:r w:rsidRPr="668D6F9E">
              <w:t xml:space="preserve"> White 96.6%; Other 3.4%</w:t>
            </w:r>
          </w:p>
          <w:p w14:paraId="37C7A094" w14:textId="7F15E1D8" w:rsidR="668D6F9E" w:rsidRDefault="668D6F9E" w:rsidP="668D6F9E">
            <w:r w:rsidRPr="668D6F9E">
              <w:rPr>
                <w:b/>
                <w:bCs/>
              </w:rPr>
              <w:t>Relevant demographics:</w:t>
            </w:r>
            <w:r w:rsidRPr="668D6F9E">
              <w:t xml:space="preserve"> Mean BMI 26.7 kg/m</w:t>
            </w:r>
            <w:r w:rsidRPr="668D6F9E">
              <w:rPr>
                <w:vertAlign w:val="superscript"/>
              </w:rPr>
              <w:t>2</w:t>
            </w:r>
            <w:r w:rsidRPr="668D6F9E">
              <w:t>; Mean total energy 8,703.4 kJ/day; Median physical activity 1,678 MET-min/week; Median TDI −2.4; Mean INFLA score 4.5</w:t>
            </w:r>
          </w:p>
          <w:p w14:paraId="0638567E" w14:textId="198A11B3" w:rsidR="668D6F9E" w:rsidRDefault="668D6F9E" w:rsidP="668D6F9E">
            <w:r w:rsidRPr="668D6F9E">
              <w:rPr>
                <w:b/>
                <w:bCs/>
              </w:rPr>
              <w:t>Location:</w:t>
            </w:r>
            <w:r w:rsidRPr="668D6F9E">
              <w:t xml:space="preserve"> United Kingdom (UK Biobank; 22 assessment centers)</w:t>
            </w:r>
          </w:p>
        </w:tc>
        <w:tc>
          <w:tcPr>
            <w:tcW w:w="3240" w:type="dxa"/>
          </w:tcPr>
          <w:p w14:paraId="3D2399BC" w14:textId="3525927C" w:rsidR="668D6F9E" w:rsidRDefault="668D6F9E" w:rsidP="668D6F9E">
            <w:r w:rsidRPr="668D6F9E">
              <w:rPr>
                <w:b/>
                <w:bCs/>
              </w:rPr>
              <w:lastRenderedPageBreak/>
              <w:t>Primary findings:</w:t>
            </w:r>
          </w:p>
          <w:p w14:paraId="5F75E184" w14:textId="64CD13D1" w:rsidR="668D6F9E" w:rsidRDefault="668D6F9E" w:rsidP="668D6F9E">
            <w:r w:rsidRPr="668D6F9E">
              <w:t>Over 12 years of follow-up, 1,043 participants developed psoriasis.</w:t>
            </w:r>
          </w:p>
          <w:p w14:paraId="372B1F2C" w14:textId="0FF90F1E" w:rsidR="668D6F9E" w:rsidRDefault="668D6F9E" w:rsidP="668D6F9E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lastRenderedPageBreak/>
              <w:t>In adjusted models, each 10% increase in UPF proportion of the diet was associated with a 6% higher risk of psoriasis.</w:t>
            </w:r>
          </w:p>
          <w:p w14:paraId="37F1F242" w14:textId="29F198FC" w:rsidR="668D6F9E" w:rsidRDefault="668D6F9E" w:rsidP="668D6F9E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The dose–response relationship was approximately linear.</w:t>
            </w:r>
          </w:p>
          <w:p w14:paraId="36F3EB96" w14:textId="3503ED90" w:rsidR="668D6F9E" w:rsidRDefault="668D6F9E" w:rsidP="668D6F9E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Participants with high genetic risk and the highest UPF consumption had the greatest psoriasis risk.</w:t>
            </w:r>
          </w:p>
          <w:p w14:paraId="09DA77D8" w14:textId="17310584" w:rsidR="668D6F9E" w:rsidRDefault="668D6F9E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Other findings:</w:t>
            </w:r>
          </w:p>
          <w:p w14:paraId="1137FF19" w14:textId="6A39AFE0" w:rsidR="668D6F9E" w:rsidRDefault="668D6F9E" w:rsidP="668D6F9E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INFLA score mediated 6.22% of the UPF–psoriasis association (p=0.040).</w:t>
            </w:r>
          </w:p>
          <w:p w14:paraId="019B4D43" w14:textId="0BE32958" w:rsidR="668D6F9E" w:rsidRDefault="668D6F9E" w:rsidP="668D6F9E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BMI mediated 27.15% of the UPF–psoriasis association (p=0.006).</w:t>
            </w:r>
          </w:p>
          <w:p w14:paraId="5ECD7C27" w14:textId="7BA42231" w:rsidR="668D6F9E" w:rsidRDefault="668D6F9E" w:rsidP="668D6F9E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No significant effect modification by sex, age, BMI, smoking, drinking, physical activity, or TDI.</w:t>
            </w:r>
          </w:p>
        </w:tc>
        <w:tc>
          <w:tcPr>
            <w:tcW w:w="4140" w:type="dxa"/>
            <w:gridSpan w:val="2"/>
          </w:tcPr>
          <w:p w14:paraId="5DA6F8FD" w14:textId="26BE5A38" w:rsidR="668D6F9E" w:rsidRDefault="668D6F9E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lastRenderedPageBreak/>
              <w:t>Limitations:</w:t>
            </w:r>
          </w:p>
          <w:p w14:paraId="042621AE" w14:textId="23CB59EC" w:rsidR="668D6F9E" w:rsidRDefault="668D6F9E" w:rsidP="668D6F9E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Psoriasis outcomes based on self-report.</w:t>
            </w:r>
          </w:p>
          <w:p w14:paraId="656E180E" w14:textId="465C26E1" w:rsidR="668D6F9E" w:rsidRDefault="668D6F9E" w:rsidP="668D6F9E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lastRenderedPageBreak/>
              <w:t>Older age of participants may limit generalizability to younger populations.</w:t>
            </w:r>
          </w:p>
          <w:p w14:paraId="7A6721C3" w14:textId="237B261F" w:rsidR="668D6F9E" w:rsidRDefault="668D6F9E" w:rsidP="668D6F9E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Limited generalizability due to predominantly White sample.</w:t>
            </w:r>
          </w:p>
          <w:p w14:paraId="514420CD" w14:textId="4BD4953C" w:rsidR="668D6F9E" w:rsidRDefault="668D6F9E" w:rsidP="668D6F9E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Dietary intake measurement limitations (assessment error/misclassification).</w:t>
            </w:r>
          </w:p>
        </w:tc>
      </w:tr>
      <w:tr w:rsidR="668D6F9E" w14:paraId="0A79083A" w14:textId="77777777" w:rsidTr="668D6F9E">
        <w:trPr>
          <w:gridAfter w:val="1"/>
          <w:wAfter w:w="13" w:type="dxa"/>
          <w:trHeight w:val="463"/>
        </w:trPr>
        <w:tc>
          <w:tcPr>
            <w:tcW w:w="2186" w:type="dxa"/>
          </w:tcPr>
          <w:p w14:paraId="7252FC35" w14:textId="5D2C8B32" w:rsidR="562CF5BB" w:rsidRDefault="562CF5BB" w:rsidP="668D6F9E">
            <w:pPr>
              <w:spacing w:after="240"/>
              <w:rPr>
                <w:rFonts w:ascii="Aptos" w:eastAsia="Aptos" w:hAnsi="Aptos" w:cs="Aptos"/>
              </w:rPr>
            </w:pPr>
            <w:r w:rsidRPr="668D6F9E">
              <w:rPr>
                <w:rFonts w:ascii="Aptos" w:eastAsia="Aptos" w:hAnsi="Aptos" w:cs="Aptos"/>
              </w:rPr>
              <w:lastRenderedPageBreak/>
              <w:t>Zhao H, Bai Y, Liu Y, et al. Association of ultraprocessed food consumption with risk of rheumatoid arthritis: a retrospective cohort study in the UK Biobank. Am J Clin Nutr. 2024;120(4):927-935.</w:t>
            </w:r>
          </w:p>
          <w:p w14:paraId="698C217C" w14:textId="20EEED7E" w:rsidR="4FE2220F" w:rsidRDefault="4FE2220F" w:rsidP="668D6F9E">
            <w:pPr>
              <w:rPr>
                <w:rFonts w:ascii="Aptos" w:eastAsia="Aptos" w:hAnsi="Aptos" w:cs="Aptos"/>
                <w:b/>
                <w:bCs/>
              </w:rPr>
            </w:pPr>
            <w:r w:rsidRPr="668D6F9E">
              <w:rPr>
                <w:rFonts w:ascii="Aptos" w:eastAsia="Aptos" w:hAnsi="Aptos" w:cs="Aptos"/>
                <w:b/>
                <w:bCs/>
              </w:rPr>
              <w:t>Retrospective cohort</w:t>
            </w:r>
          </w:p>
          <w:p w14:paraId="619E8B44" w14:textId="46613C4C" w:rsidR="668D6F9E" w:rsidRDefault="668D6F9E" w:rsidP="668D6F9E">
            <w:pPr>
              <w:rPr>
                <w:rFonts w:ascii="Aptos" w:eastAsia="Aptos" w:hAnsi="Aptos" w:cs="Aptos"/>
                <w:b/>
                <w:bCs/>
              </w:rPr>
            </w:pPr>
          </w:p>
          <w:p w14:paraId="50CA7AB0" w14:textId="7CB6C12B" w:rsidR="4DE5E9BC" w:rsidRDefault="4DE5E9BC" w:rsidP="668D6F9E">
            <w:pPr>
              <w:rPr>
                <w:rFonts w:ascii="Aptos" w:eastAsia="Aptos" w:hAnsi="Aptos" w:cs="Aptos"/>
                <w:b/>
                <w:bCs/>
              </w:rPr>
            </w:pPr>
            <w:r w:rsidRPr="668D6F9E">
              <w:rPr>
                <w:rFonts w:ascii="Aptos" w:eastAsia="Aptos" w:hAnsi="Aptos" w:cs="Aptos"/>
                <w:b/>
                <w:bCs/>
              </w:rPr>
              <w:t>P</w:t>
            </w:r>
            <w:r w:rsidR="4FE2220F" w:rsidRPr="668D6F9E">
              <w:rPr>
                <w:rFonts w:ascii="Aptos" w:eastAsia="Aptos" w:hAnsi="Aptos" w:cs="Aptos"/>
                <w:b/>
                <w:bCs/>
              </w:rPr>
              <w:t>ositive</w:t>
            </w:r>
          </w:p>
        </w:tc>
        <w:tc>
          <w:tcPr>
            <w:tcW w:w="2309" w:type="dxa"/>
          </w:tcPr>
          <w:p w14:paraId="109CF772" w14:textId="036473D6" w:rsidR="4FE2220F" w:rsidRDefault="4FE2220F" w:rsidP="668D6F9E">
            <w:pPr>
              <w:rPr>
                <w:rFonts w:ascii="Aptos" w:eastAsia="Aptos" w:hAnsi="Aptos" w:cs="Aptos"/>
              </w:rPr>
            </w:pPr>
            <w:r w:rsidRPr="668D6F9E">
              <w:rPr>
                <w:rFonts w:ascii="Aptos" w:eastAsia="Aptos" w:hAnsi="Aptos" w:cs="Aptos"/>
              </w:rPr>
              <w:t>To examine the association between UPF consumption and RA risk and explore the potential mediating effects of RA related biomarkers</w:t>
            </w:r>
          </w:p>
          <w:p w14:paraId="65DED51E" w14:textId="50EC1287" w:rsidR="668D6F9E" w:rsidRDefault="668D6F9E" w:rsidP="668D6F9E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01EB5850" w14:textId="775B9A48" w:rsidR="668D6F9E" w:rsidRDefault="668D6F9E" w:rsidP="668D6F9E">
            <w:r w:rsidRPr="668D6F9E">
              <w:rPr>
                <w:b/>
                <w:bCs/>
              </w:rPr>
              <w:t>Sample:</w:t>
            </w:r>
            <w:r w:rsidRPr="668D6F9E">
              <w:t xml:space="preserve"> UK Biobank</w:t>
            </w:r>
          </w:p>
          <w:p w14:paraId="587A4A64" w14:textId="0CDD11DD" w:rsidR="4670DF13" w:rsidRDefault="4670DF13" w:rsidP="668D6F9E">
            <w:r w:rsidRPr="668D6F9E">
              <w:t>N= 216,012</w:t>
            </w:r>
          </w:p>
          <w:p w14:paraId="3E3B378D" w14:textId="74A43FAB" w:rsidR="668D6F9E" w:rsidRDefault="668D6F9E" w:rsidP="668D6F9E">
            <w:r w:rsidRPr="668D6F9E">
              <w:rPr>
                <w:b/>
                <w:bCs/>
              </w:rPr>
              <w:t>Sample size:</w:t>
            </w:r>
            <w:r w:rsidRPr="668D6F9E">
              <w:t xml:space="preserve"> 1,869 cases</w:t>
            </w:r>
          </w:p>
          <w:p w14:paraId="1F58BB52" w14:textId="1E575808" w:rsidR="668D6F9E" w:rsidRDefault="668D6F9E" w:rsidP="668D6F9E">
            <w:r w:rsidRPr="668D6F9E">
              <w:rPr>
                <w:b/>
                <w:bCs/>
              </w:rPr>
              <w:t>Sex:</w:t>
            </w:r>
            <w:r w:rsidRPr="668D6F9E">
              <w:t xml:space="preserve"> Male 45.1%; Female 54.9%</w:t>
            </w:r>
          </w:p>
          <w:p w14:paraId="7650D90A" w14:textId="6457FDD8" w:rsidR="668D6F9E" w:rsidRDefault="668D6F9E" w:rsidP="668D6F9E">
            <w:r w:rsidRPr="668D6F9E">
              <w:rPr>
                <w:b/>
                <w:bCs/>
              </w:rPr>
              <w:t>Age (range/mean):</w:t>
            </w:r>
            <w:r w:rsidRPr="668D6F9E">
              <w:t xml:space="preserve"> Mean 56.08 (±7.95) years</w:t>
            </w:r>
          </w:p>
          <w:p w14:paraId="195C7FDB" w14:textId="7AEBE9EC" w:rsidR="668D6F9E" w:rsidRDefault="668D6F9E" w:rsidP="668D6F9E">
            <w:r w:rsidRPr="668D6F9E">
              <w:rPr>
                <w:b/>
                <w:bCs/>
              </w:rPr>
              <w:t>Race/Ethnicity:</w:t>
            </w:r>
            <w:r w:rsidRPr="668D6F9E">
              <w:t xml:space="preserve"> 95.4% White</w:t>
            </w:r>
          </w:p>
          <w:p w14:paraId="599BE410" w14:textId="0320135A" w:rsidR="668D6F9E" w:rsidRDefault="668D6F9E" w:rsidP="668D6F9E">
            <w:r w:rsidRPr="668D6F9E">
              <w:rPr>
                <w:b/>
                <w:bCs/>
              </w:rPr>
              <w:t>Relevant demographics:</w:t>
            </w:r>
            <w:r w:rsidRPr="668D6F9E">
              <w:t xml:space="preserve"> 41.7% overweight; 21% with obesity; 60% moderate physical activity; 56.5% never smoked</w:t>
            </w:r>
          </w:p>
          <w:p w14:paraId="14E6352A" w14:textId="1E3F0E19" w:rsidR="668D6F9E" w:rsidRDefault="668D6F9E" w:rsidP="668D6F9E">
            <w:r w:rsidRPr="668D6F9E">
              <w:rPr>
                <w:b/>
                <w:bCs/>
              </w:rPr>
              <w:t>Location:</w:t>
            </w:r>
            <w:r w:rsidRPr="668D6F9E">
              <w:t xml:space="preserve"> United Kingdom</w:t>
            </w:r>
          </w:p>
        </w:tc>
        <w:tc>
          <w:tcPr>
            <w:tcW w:w="3240" w:type="dxa"/>
          </w:tcPr>
          <w:p w14:paraId="565174B2" w14:textId="36547B2B" w:rsidR="668D6F9E" w:rsidRDefault="668D6F9E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Primary findings:</w:t>
            </w:r>
          </w:p>
          <w:p w14:paraId="0AF324D4" w14:textId="6C8BACF0" w:rsidR="668D6F9E" w:rsidRDefault="668D6F9E" w:rsidP="668D6F9E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In the fully adjusted model, participants in the highest UPF quintile had higher RA risk than those in the lowest quintile (HR 1.17; 95% CI 1.01–1.36).</w:t>
            </w:r>
          </w:p>
          <w:p w14:paraId="7981B586" w14:textId="5248BDE0" w:rsidR="668D6F9E" w:rsidRDefault="668D6F9E" w:rsidP="668D6F9E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There was a significant trend of increasing RA risk across higher UPF quintiles (P-trend &lt;0.05).</w:t>
            </w:r>
          </w:p>
          <w:p w14:paraId="02493234" w14:textId="6B15B796" w:rsidR="668D6F9E" w:rsidRDefault="668D6F9E" w:rsidP="668D6F9E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Each SD increase in UPF intake was associated with a 6% higher incidence of RA (HR 1.06; 95% CI 1.01–1.11).</w:t>
            </w:r>
          </w:p>
          <w:p w14:paraId="15ADC3AA" w14:textId="2FDF5A03" w:rsidR="668D6F9E" w:rsidRDefault="668D6F9E" w:rsidP="668D6F9E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Restricted cubic spline analyses suggested a nonlinear relationship between UPF consumption and RA risk.</w:t>
            </w:r>
          </w:p>
        </w:tc>
        <w:tc>
          <w:tcPr>
            <w:tcW w:w="4140" w:type="dxa"/>
            <w:gridSpan w:val="2"/>
          </w:tcPr>
          <w:p w14:paraId="6DAA63C9" w14:textId="3019B6AC" w:rsidR="668D6F9E" w:rsidRDefault="668D6F9E" w:rsidP="668D6F9E">
            <w:pPr>
              <w:rPr>
                <w:b/>
                <w:bCs/>
              </w:rPr>
            </w:pPr>
            <w:r w:rsidRPr="668D6F9E">
              <w:rPr>
                <w:b/>
                <w:bCs/>
              </w:rPr>
              <w:t>Limitations:</w:t>
            </w:r>
          </w:p>
          <w:p w14:paraId="1588161A" w14:textId="3E00B1B1" w:rsidR="668D6F9E" w:rsidRDefault="668D6F9E" w:rsidP="668D6F9E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Potential residual/unidentified confounding.</w:t>
            </w:r>
          </w:p>
          <w:p w14:paraId="29344B32" w14:textId="05BB39C8" w:rsidR="668D6F9E" w:rsidRDefault="668D6F9E" w:rsidP="668D6F9E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Dietary intake based on a single 24-hour assessment may not reflect usual intake.</w:t>
            </w:r>
          </w:p>
          <w:p w14:paraId="3AFADD75" w14:textId="097376B8" w:rsidR="668D6F9E" w:rsidRDefault="668D6F9E" w:rsidP="668D6F9E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UPF categorization relied on prior approaches, but detailed processing information was limited in the databank.</w:t>
            </w:r>
          </w:p>
          <w:p w14:paraId="7A2794D2" w14:textId="5FDDEDCA" w:rsidR="668D6F9E" w:rsidRDefault="668D6F9E" w:rsidP="668D6F9E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668D6F9E">
              <w:rPr>
                <w:sz w:val="22"/>
                <w:szCs w:val="22"/>
              </w:rPr>
              <w:t>Limited generalizability beyond the study population.</w:t>
            </w:r>
          </w:p>
        </w:tc>
      </w:tr>
    </w:tbl>
    <w:p w14:paraId="7A1C8532" w14:textId="77777777" w:rsidR="00AF2E61" w:rsidRDefault="00AF2E61"/>
    <w:sectPr w:rsidR="00AF2E61" w:rsidSect="00AF2E61">
      <w:headerReference w:type="default" r:id="rId10"/>
      <w:footerReference w:type="defaul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1CF26" w14:textId="77777777" w:rsidR="00B47F78" w:rsidRDefault="00B47F78" w:rsidP="00AF2E61">
      <w:pPr>
        <w:spacing w:after="0" w:line="240" w:lineRule="auto"/>
      </w:pPr>
      <w:r>
        <w:separator/>
      </w:r>
    </w:p>
  </w:endnote>
  <w:endnote w:type="continuationSeparator" w:id="0">
    <w:p w14:paraId="7B5162F1" w14:textId="77777777" w:rsidR="00B47F78" w:rsidRDefault="00B47F78" w:rsidP="00AF2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668D6F9E" w14:paraId="260DE4EA" w14:textId="77777777" w:rsidTr="668D6F9E">
      <w:trPr>
        <w:trHeight w:val="300"/>
      </w:trPr>
      <w:tc>
        <w:tcPr>
          <w:tcW w:w="4800" w:type="dxa"/>
        </w:tcPr>
        <w:p w14:paraId="0990E83C" w14:textId="49BA8CAC" w:rsidR="668D6F9E" w:rsidRDefault="668D6F9E" w:rsidP="668D6F9E">
          <w:pPr>
            <w:pStyle w:val="Header"/>
            <w:ind w:left="-115"/>
          </w:pPr>
        </w:p>
      </w:tc>
      <w:tc>
        <w:tcPr>
          <w:tcW w:w="4800" w:type="dxa"/>
        </w:tcPr>
        <w:p w14:paraId="02119606" w14:textId="57BA67C5" w:rsidR="668D6F9E" w:rsidRDefault="668D6F9E" w:rsidP="668D6F9E">
          <w:pPr>
            <w:pStyle w:val="Header"/>
            <w:jc w:val="center"/>
          </w:pPr>
        </w:p>
      </w:tc>
      <w:tc>
        <w:tcPr>
          <w:tcW w:w="4800" w:type="dxa"/>
        </w:tcPr>
        <w:p w14:paraId="5D70B2DE" w14:textId="06F2EB21" w:rsidR="668D6F9E" w:rsidRDefault="668D6F9E" w:rsidP="668D6F9E">
          <w:pPr>
            <w:pStyle w:val="Header"/>
            <w:ind w:right="-115"/>
            <w:jc w:val="right"/>
          </w:pPr>
        </w:p>
      </w:tc>
    </w:tr>
  </w:tbl>
  <w:p w14:paraId="10E6505A" w14:textId="6D4D2C34" w:rsidR="668D6F9E" w:rsidRDefault="668D6F9E" w:rsidP="668D6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25B01" w14:textId="77777777" w:rsidR="00B47F78" w:rsidRDefault="00B47F78" w:rsidP="00AF2E61">
      <w:pPr>
        <w:spacing w:after="0" w:line="240" w:lineRule="auto"/>
      </w:pPr>
      <w:r>
        <w:separator/>
      </w:r>
    </w:p>
  </w:footnote>
  <w:footnote w:type="continuationSeparator" w:id="0">
    <w:p w14:paraId="5B6FE852" w14:textId="77777777" w:rsidR="00B47F78" w:rsidRDefault="00B47F78" w:rsidP="00AF2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9F48" w14:textId="2CE9C0FD" w:rsidR="00AF2E61" w:rsidRDefault="00AF2E61">
    <w:pPr>
      <w:pStyle w:val="Header"/>
    </w:pPr>
    <w:r>
      <w:t>Texas Nutrition Advisory Committee</w:t>
    </w:r>
  </w:p>
  <w:p w14:paraId="18EE8FCA" w14:textId="38B57565" w:rsidR="00AF2E61" w:rsidRDefault="00AF2E61">
    <w:pPr>
      <w:pStyle w:val="Header"/>
    </w:pPr>
    <w:r>
      <w:t>Summary of Relevant Literature Table</w:t>
    </w:r>
  </w:p>
  <w:p w14:paraId="62D5CFDD" w14:textId="13248352" w:rsidR="00AF2E61" w:rsidRDefault="668D6F9E" w:rsidP="668D6F9E">
    <w:pPr>
      <w:pStyle w:val="Header"/>
    </w:pPr>
    <w:r>
      <w:t>Topic: Immune Health and UPF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025"/>
    <w:multiLevelType w:val="hybridMultilevel"/>
    <w:tmpl w:val="BAAA9B80"/>
    <w:lvl w:ilvl="0" w:tplc="FA68F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50AD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947A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4A40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AE59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A4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1ED4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86D8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5480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9E53B"/>
    <w:multiLevelType w:val="hybridMultilevel"/>
    <w:tmpl w:val="53D0D0F2"/>
    <w:lvl w:ilvl="0" w:tplc="91B2FB5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BED2FF54">
      <w:start w:val="1"/>
      <w:numFmt w:val="bullet"/>
      <w:lvlText w:val="o"/>
      <w:lvlJc w:val="left"/>
      <w:pPr>
        <w:ind w:left="1485" w:hanging="360"/>
      </w:pPr>
      <w:rPr>
        <w:rFonts w:ascii="Symbol" w:hAnsi="Symbol" w:hint="default"/>
      </w:rPr>
    </w:lvl>
    <w:lvl w:ilvl="2" w:tplc="F5B857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209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A0BC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CEE8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5C69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260E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8E5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783BE"/>
    <w:multiLevelType w:val="hybridMultilevel"/>
    <w:tmpl w:val="F5CE94D2"/>
    <w:lvl w:ilvl="0" w:tplc="E8E06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DA0D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181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640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8ED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D64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A85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78B8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982C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4C4C5"/>
    <w:multiLevelType w:val="hybridMultilevel"/>
    <w:tmpl w:val="C7106B86"/>
    <w:lvl w:ilvl="0" w:tplc="62E44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F29B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780F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4A7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49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B231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56E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F08F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B21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56738"/>
    <w:multiLevelType w:val="hybridMultilevel"/>
    <w:tmpl w:val="E2A437DC"/>
    <w:lvl w:ilvl="0" w:tplc="45843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CC3D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FA7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D8E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4E6E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FC80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FCA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2C8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2AFC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1CE1F"/>
    <w:multiLevelType w:val="hybridMultilevel"/>
    <w:tmpl w:val="C3262556"/>
    <w:lvl w:ilvl="0" w:tplc="CE5E8696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0DAEA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6A8D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7653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2AE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DA1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DC0B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486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3EAC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55D08D"/>
    <w:multiLevelType w:val="hybridMultilevel"/>
    <w:tmpl w:val="E8E8CDBE"/>
    <w:lvl w:ilvl="0" w:tplc="98043A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BCC3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08D5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867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2CB5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C6A0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CB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2A8B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6A2D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684088"/>
    <w:multiLevelType w:val="hybridMultilevel"/>
    <w:tmpl w:val="60A06ACA"/>
    <w:lvl w:ilvl="0" w:tplc="4B7C26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5C8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BEC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567A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DE84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243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82E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F26F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B833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E52DC"/>
    <w:multiLevelType w:val="hybridMultilevel"/>
    <w:tmpl w:val="67768ECE"/>
    <w:lvl w:ilvl="0" w:tplc="EB9A2D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A6DC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8483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1867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726D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C06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48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BE8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92C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28FB24"/>
    <w:multiLevelType w:val="hybridMultilevel"/>
    <w:tmpl w:val="D7C8B94E"/>
    <w:lvl w:ilvl="0" w:tplc="714277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D5CC5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14E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961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3A7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22C4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ECDC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08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90B5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8E22B7"/>
    <w:multiLevelType w:val="hybridMultilevel"/>
    <w:tmpl w:val="27E4A132"/>
    <w:lvl w:ilvl="0" w:tplc="7B3E7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FE6C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48C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9EEF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C7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66D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3A01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DCD2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3AE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898722">
    <w:abstractNumId w:val="0"/>
  </w:num>
  <w:num w:numId="2" w16cid:durableId="196084891">
    <w:abstractNumId w:val="2"/>
  </w:num>
  <w:num w:numId="3" w16cid:durableId="259680404">
    <w:abstractNumId w:val="3"/>
  </w:num>
  <w:num w:numId="4" w16cid:durableId="882055904">
    <w:abstractNumId w:val="6"/>
  </w:num>
  <w:num w:numId="5" w16cid:durableId="1397359445">
    <w:abstractNumId w:val="4"/>
  </w:num>
  <w:num w:numId="6" w16cid:durableId="1983805810">
    <w:abstractNumId w:val="10"/>
  </w:num>
  <w:num w:numId="7" w16cid:durableId="1371102676">
    <w:abstractNumId w:val="8"/>
  </w:num>
  <w:num w:numId="8" w16cid:durableId="4599045">
    <w:abstractNumId w:val="9"/>
  </w:num>
  <w:num w:numId="9" w16cid:durableId="36860634">
    <w:abstractNumId w:val="7"/>
  </w:num>
  <w:num w:numId="10" w16cid:durableId="1180774286">
    <w:abstractNumId w:val="5"/>
  </w:num>
  <w:num w:numId="11" w16cid:durableId="238486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E61"/>
    <w:rsid w:val="001F57A1"/>
    <w:rsid w:val="00413741"/>
    <w:rsid w:val="004300D7"/>
    <w:rsid w:val="00430C16"/>
    <w:rsid w:val="00534159"/>
    <w:rsid w:val="00612F13"/>
    <w:rsid w:val="0085334B"/>
    <w:rsid w:val="00906551"/>
    <w:rsid w:val="009E680E"/>
    <w:rsid w:val="00A424FC"/>
    <w:rsid w:val="00AF2E61"/>
    <w:rsid w:val="00B47F78"/>
    <w:rsid w:val="00E16A72"/>
    <w:rsid w:val="08BDCEE5"/>
    <w:rsid w:val="08D4B087"/>
    <w:rsid w:val="0CC4FD5A"/>
    <w:rsid w:val="0D20972B"/>
    <w:rsid w:val="135545E0"/>
    <w:rsid w:val="14345E08"/>
    <w:rsid w:val="16F4CA98"/>
    <w:rsid w:val="199FBE99"/>
    <w:rsid w:val="1B284038"/>
    <w:rsid w:val="1DEED34B"/>
    <w:rsid w:val="1E092D04"/>
    <w:rsid w:val="25910FDE"/>
    <w:rsid w:val="25AE3D1D"/>
    <w:rsid w:val="2777A712"/>
    <w:rsid w:val="2A579C10"/>
    <w:rsid w:val="2BD4C8B8"/>
    <w:rsid w:val="2D58E931"/>
    <w:rsid w:val="2F83C90B"/>
    <w:rsid w:val="3A694895"/>
    <w:rsid w:val="4447356F"/>
    <w:rsid w:val="447539E6"/>
    <w:rsid w:val="4670DF13"/>
    <w:rsid w:val="47F9A9A9"/>
    <w:rsid w:val="4DE5E9BC"/>
    <w:rsid w:val="4FE2220F"/>
    <w:rsid w:val="50A6C299"/>
    <w:rsid w:val="528A7592"/>
    <w:rsid w:val="5308BC9E"/>
    <w:rsid w:val="562CF5BB"/>
    <w:rsid w:val="579DF63A"/>
    <w:rsid w:val="6449AAE0"/>
    <w:rsid w:val="668D6F9E"/>
    <w:rsid w:val="6A939928"/>
    <w:rsid w:val="6B3FE68A"/>
    <w:rsid w:val="70A8FA45"/>
    <w:rsid w:val="763B0D7E"/>
    <w:rsid w:val="789F8753"/>
    <w:rsid w:val="7E4180D9"/>
    <w:rsid w:val="7F6B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E83C8"/>
  <w15:chartTrackingRefBased/>
  <w15:docId w15:val="{3185DFE0-B7F5-4D39-8902-CC1FC710A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E6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E6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E6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E6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E6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E6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E6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E6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E6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E6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E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E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E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E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E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E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E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E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E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E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F2E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E6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F2E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E6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F2E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E6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F2E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E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E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E6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F2E61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F2E61"/>
  </w:style>
  <w:style w:type="paragraph" w:styleId="Footer">
    <w:name w:val="footer"/>
    <w:basedOn w:val="Normal"/>
    <w:link w:val="FooterChar"/>
    <w:uiPriority w:val="99"/>
    <w:unhideWhenUsed/>
    <w:rsid w:val="00AF2E61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F2E61"/>
  </w:style>
  <w:style w:type="table" w:styleId="TableGrid">
    <w:name w:val="Table Grid"/>
    <w:basedOn w:val="TableNormal"/>
    <w:uiPriority w:val="39"/>
    <w:rsid w:val="00AF2E6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B2FD9D0E60E4D9A540172FBC638A5" ma:contentTypeVersion="20" ma:contentTypeDescription="Create a new document." ma:contentTypeScope="" ma:versionID="673ef0d5390faac1c216dd066c1759b7">
  <xsd:schema xmlns:xsd="http://www.w3.org/2001/XMLSchema" xmlns:xs="http://www.w3.org/2001/XMLSchema" xmlns:p="http://schemas.microsoft.com/office/2006/metadata/properties" xmlns:ns2="5acf3f67-585c-462a-94f9-0e8032306a18" xmlns:ns3="160abd0e-414f-47c5-a2d7-eced7709f37f" xmlns:ns4="d853a810-d2a2-4c28-9ad9-9100c9a22e04" targetNamespace="http://schemas.microsoft.com/office/2006/metadata/properties" ma:root="true" ma:fieldsID="17b0aad9b176f0cab4043de4e58c2e02" ns2:_="" ns3:_="" ns4:_="">
    <xsd:import namespace="5acf3f67-585c-462a-94f9-0e8032306a18"/>
    <xsd:import namespace="160abd0e-414f-47c5-a2d7-eced7709f37f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Added_x003f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3f67-585c-462a-94f9-0e8032306a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Added_x003f_" ma:index="26" nillable="true" ma:displayName="Added?" ma:format="Dropdown" ma:internalName="Added_x003f_">
      <xsd:simpleType>
        <xsd:restriction base="dms:Choice">
          <xsd:enumeration value="Yes"/>
          <xsd:enumeration value="Choice 2"/>
          <xsd:enumeration value="Choice 3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abd0e-414f-47c5-a2d7-eced7709f3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7164e48-2eb0-4aa9-be91-6fb83a67d0dd}" ma:internalName="TaxCatchAll" ma:showField="CatchAllData" ma:web="160abd0e-414f-47c5-a2d7-eced7709f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5acf3f67-585c-462a-94f9-0e8032306a18">
      <Terms xmlns="http://schemas.microsoft.com/office/infopath/2007/PartnerControls"/>
    </lcf76f155ced4ddcb4097134ff3c332f>
    <SharedWithUsers xmlns="160abd0e-414f-47c5-a2d7-eced7709f37f">
      <UserInfo>
        <DisplayName/>
        <AccountId xsi:nil="true"/>
        <AccountType/>
      </UserInfo>
    </SharedWithUsers>
    <Added_x003f_ xmlns="5acf3f67-585c-462a-94f9-0e8032306a18" xsi:nil="true"/>
  </documentManagement>
</p:properties>
</file>

<file path=customXml/itemProps1.xml><?xml version="1.0" encoding="utf-8"?>
<ds:datastoreItem xmlns:ds="http://schemas.openxmlformats.org/officeDocument/2006/customXml" ds:itemID="{DA31B477-6CFB-43FC-8814-174073AE6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f3f67-585c-462a-94f9-0e8032306a18"/>
    <ds:schemaRef ds:uri="160abd0e-414f-47c5-a2d7-eced7709f37f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EA9B84-A5F5-40C8-90A2-848CF962C3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EE7602-8BAE-46FC-919F-50B567F19E68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5acf3f67-585c-462a-94f9-0e8032306a18"/>
    <ds:schemaRef ds:uri="160abd0e-414f-47c5-a2d7-eced7709f3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3906</Characters>
  <Application>Microsoft Office Word</Application>
  <DocSecurity>0</DocSecurity>
  <Lines>86</Lines>
  <Paragraphs>56</Paragraphs>
  <ScaleCrop>false</ScaleCrop>
  <Company>Texas Woman's University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Kathleen</dc:creator>
  <cp:keywords/>
  <dc:description/>
  <cp:lastModifiedBy>Garcia,Ilza  (DSHS)</cp:lastModifiedBy>
  <cp:revision>2</cp:revision>
  <dcterms:created xsi:type="dcterms:W3CDTF">2026-09-02T13:15:00Z</dcterms:created>
  <dcterms:modified xsi:type="dcterms:W3CDTF">2026-09-02T13:15:00Z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0x0101002BCB2FD9D0E60E4D9A540172FBC638A5</vt:lpwstr>
  </property>
  <property fmtid="{D5CDD505-2E9C-101B-9397-08002B2CF9AE}" pid="3" name="_dlc_DocIdItemGuid">
    <vt:lpwstr>e0a0173a-b174-425c-b1f6-e93438d7dea9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Order">
    <vt:r8>540400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